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7F4AFD87" w:rsidR="00D5544D" w:rsidRPr="00D5544D" w:rsidRDefault="00D902FC"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 </w:t>
            </w:r>
            <w:r w:rsidR="00DB414B">
              <w:rPr>
                <w:rFonts w:asciiTheme="majorHAnsi" w:hAnsiTheme="majorHAnsi"/>
                <w:color w:val="1598D9" w:themeColor="accent2"/>
                <w:sz w:val="36"/>
                <w:szCs w:val="36"/>
              </w:rPr>
              <w:t>Moselle</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D902FC"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0E95A8C6">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4113EDA5" w:rsidR="00837091" w:rsidRDefault="00DB414B" w:rsidP="008F2F62">
            <w:pPr>
              <w:pStyle w:val="Corpsdetexte"/>
              <w:spacing w:before="120" w:after="0"/>
              <w:jc w:val="center"/>
            </w:pPr>
            <w:r>
              <w:rPr>
                <w:noProof/>
              </w:rPr>
              <w:drawing>
                <wp:inline distT="0" distB="0" distL="0" distR="0" wp14:anchorId="34909F38" wp14:editId="2B38FDBD">
                  <wp:extent cx="1468105" cy="1252637"/>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5" cy="1252637"/>
                          </a:xfrm>
                          <a:prstGeom prst="rect">
                            <a:avLst/>
                          </a:prstGeom>
                        </pic:spPr>
                      </pic:pic>
                    </a:graphicData>
                  </a:graphic>
                </wp:inline>
              </w:drawing>
            </w:r>
          </w:p>
          <w:p w14:paraId="5FD54401" w14:textId="0818E85F" w:rsidR="00A10FFA" w:rsidRPr="00A10FFA" w:rsidRDefault="00DB414B" w:rsidP="00A10FFA">
            <w:pPr>
              <w:pStyle w:val="Corpsdetexte"/>
              <w:spacing w:before="120" w:after="0"/>
              <w:jc w:val="center"/>
              <w:rPr>
                <w:b/>
                <w:bCs/>
              </w:rPr>
            </w:pPr>
            <w:r>
              <w:rPr>
                <w:b/>
                <w:bCs/>
              </w:rPr>
              <w:t>Moselle</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DB414B" w:rsidRPr="008F2F62" w14:paraId="5EC92056" w14:textId="77777777" w:rsidTr="00DB414B">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DB414B" w:rsidRPr="008F2F62" w:rsidRDefault="00DB414B" w:rsidP="00DB414B">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3C3B4BDC" w:rsidR="00DB414B" w:rsidRPr="00DB414B" w:rsidRDefault="00DB414B" w:rsidP="00DB414B">
            <w:pPr>
              <w:spacing w:line="240" w:lineRule="auto"/>
              <w:jc w:val="center"/>
              <w:rPr>
                <w:rFonts w:ascii="Century Gothic" w:eastAsia="Times New Roman" w:hAnsi="Century Gothic" w:cs="Times New Roman"/>
                <w:b/>
                <w:bCs/>
                <w:color w:val="1598D9" w:themeColor="accent2"/>
                <w:szCs w:val="20"/>
                <w:lang w:eastAsia="fr-FR"/>
              </w:rPr>
            </w:pPr>
            <w:r w:rsidRPr="00DB414B">
              <w:rPr>
                <w:b/>
                <w:bCs/>
                <w:color w:val="1598D9" w:themeColor="accent2"/>
              </w:rPr>
              <w:t>1 049 562 (+ 0,1 %)</w:t>
            </w:r>
          </w:p>
        </w:tc>
        <w:tc>
          <w:tcPr>
            <w:tcW w:w="907" w:type="dxa"/>
            <w:tcBorders>
              <w:top w:val="nil"/>
              <w:left w:val="nil"/>
              <w:bottom w:val="single" w:sz="4" w:space="0" w:color="D2D2D2"/>
              <w:right w:val="nil"/>
            </w:tcBorders>
            <w:shd w:val="clear" w:color="000000" w:fill="FFFFFF"/>
            <w:noWrap/>
            <w:vAlign w:val="center"/>
            <w:hideMark/>
          </w:tcPr>
          <w:p w14:paraId="13942E9A" w14:textId="4C186DA7" w:rsidR="00DB414B" w:rsidRPr="00DB414B" w:rsidRDefault="00DB414B" w:rsidP="00DB414B">
            <w:pPr>
              <w:spacing w:line="240" w:lineRule="auto"/>
              <w:jc w:val="center"/>
              <w:rPr>
                <w:rFonts w:ascii="Century Gothic" w:eastAsia="Times New Roman" w:hAnsi="Century Gothic" w:cs="Times New Roman"/>
                <w:b/>
                <w:bCs/>
                <w:color w:val="005293" w:themeColor="accent1"/>
                <w:szCs w:val="20"/>
                <w:lang w:eastAsia="fr-FR"/>
              </w:rPr>
            </w:pPr>
            <w:r w:rsidRPr="00DB414B">
              <w:rPr>
                <w:b/>
                <w:bCs/>
                <w:color w:val="005293" w:themeColor="accent1"/>
              </w:rPr>
              <w:t>18,9 %</w:t>
            </w:r>
          </w:p>
        </w:tc>
        <w:tc>
          <w:tcPr>
            <w:tcW w:w="1510" w:type="dxa"/>
            <w:vMerge w:val="restart"/>
            <w:tcBorders>
              <w:top w:val="nil"/>
              <w:left w:val="nil"/>
              <w:bottom w:val="nil"/>
              <w:right w:val="nil"/>
            </w:tcBorders>
            <w:shd w:val="clear" w:color="000000" w:fill="D9D9D9"/>
            <w:vAlign w:val="center"/>
            <w:hideMark/>
          </w:tcPr>
          <w:p w14:paraId="36CC82F7" w14:textId="641D4A12" w:rsidR="00DB414B" w:rsidRPr="008F2F62" w:rsidRDefault="00DB414B" w:rsidP="00DB414B">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DB414B" w:rsidRPr="008F2F62" w14:paraId="78CE9338" w14:textId="77777777" w:rsidTr="00DB414B">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DB414B" w:rsidRPr="008F2F62" w:rsidRDefault="00DB414B" w:rsidP="00DB414B">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31228967" w:rsidR="00DB414B" w:rsidRPr="00DB414B" w:rsidRDefault="00DB414B" w:rsidP="00DB414B">
            <w:pPr>
              <w:spacing w:line="240" w:lineRule="auto"/>
              <w:jc w:val="center"/>
              <w:rPr>
                <w:rFonts w:ascii="Century Gothic" w:eastAsia="Times New Roman" w:hAnsi="Century Gothic" w:cs="Times New Roman"/>
                <w:b/>
                <w:bCs/>
                <w:color w:val="1598D9" w:themeColor="accent2"/>
                <w:szCs w:val="20"/>
                <w:lang w:eastAsia="fr-FR"/>
              </w:rPr>
            </w:pPr>
            <w:r w:rsidRPr="00DB414B">
              <w:rPr>
                <w:b/>
                <w:bCs/>
                <w:color w:val="1598D9" w:themeColor="accent2"/>
              </w:rPr>
              <w:t>327 960 (- 0,2 %)</w:t>
            </w:r>
          </w:p>
        </w:tc>
        <w:tc>
          <w:tcPr>
            <w:tcW w:w="907" w:type="dxa"/>
            <w:tcBorders>
              <w:top w:val="nil"/>
              <w:left w:val="nil"/>
              <w:bottom w:val="single" w:sz="4" w:space="0" w:color="D2D2D2"/>
              <w:right w:val="nil"/>
            </w:tcBorders>
            <w:shd w:val="clear" w:color="000000" w:fill="FFFFFF"/>
            <w:noWrap/>
            <w:vAlign w:val="center"/>
            <w:hideMark/>
          </w:tcPr>
          <w:p w14:paraId="11BB692E" w14:textId="6CF7FF60" w:rsidR="00DB414B" w:rsidRPr="00DB414B" w:rsidRDefault="00DB414B" w:rsidP="00DB414B">
            <w:pPr>
              <w:spacing w:line="240" w:lineRule="auto"/>
              <w:jc w:val="center"/>
              <w:rPr>
                <w:rFonts w:ascii="Century Gothic" w:eastAsia="Times New Roman" w:hAnsi="Century Gothic" w:cs="Times New Roman"/>
                <w:b/>
                <w:bCs/>
                <w:color w:val="005293" w:themeColor="accent1"/>
                <w:szCs w:val="20"/>
                <w:lang w:eastAsia="fr-FR"/>
              </w:rPr>
            </w:pPr>
            <w:r w:rsidRPr="00DB414B">
              <w:rPr>
                <w:b/>
                <w:bCs/>
                <w:color w:val="005293" w:themeColor="accent1"/>
              </w:rPr>
              <w:t>17,0 %</w:t>
            </w:r>
          </w:p>
        </w:tc>
        <w:tc>
          <w:tcPr>
            <w:tcW w:w="1510" w:type="dxa"/>
            <w:vMerge/>
            <w:tcBorders>
              <w:top w:val="nil"/>
              <w:left w:val="nil"/>
              <w:bottom w:val="nil"/>
              <w:right w:val="nil"/>
            </w:tcBorders>
            <w:vAlign w:val="center"/>
            <w:hideMark/>
          </w:tcPr>
          <w:p w14:paraId="5DBEB910" w14:textId="77777777" w:rsidR="00DB414B" w:rsidRPr="008F2F62" w:rsidRDefault="00DB414B" w:rsidP="00DB414B">
            <w:pPr>
              <w:spacing w:line="240" w:lineRule="auto"/>
              <w:rPr>
                <w:rFonts w:ascii="Century Gothic" w:eastAsia="Times New Roman" w:hAnsi="Century Gothic" w:cs="Times New Roman"/>
                <w:b/>
                <w:bCs/>
                <w:color w:val="FFFFFF"/>
                <w:szCs w:val="20"/>
                <w:lang w:eastAsia="fr-FR"/>
              </w:rPr>
            </w:pPr>
          </w:p>
        </w:tc>
      </w:tr>
      <w:tr w:rsidR="00DB414B" w:rsidRPr="008F2F62" w14:paraId="6C3DD9D7" w14:textId="77777777" w:rsidTr="00DB414B">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DB414B" w:rsidRPr="008F2F62" w:rsidRDefault="00DB414B" w:rsidP="00DB414B">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6B6FC1DB" w:rsidR="00DB414B" w:rsidRPr="00DB414B" w:rsidRDefault="00DB414B" w:rsidP="00DB414B">
            <w:pPr>
              <w:spacing w:line="240" w:lineRule="auto"/>
              <w:jc w:val="center"/>
              <w:rPr>
                <w:rFonts w:ascii="Century Gothic" w:eastAsia="Times New Roman" w:hAnsi="Century Gothic" w:cs="Times New Roman"/>
                <w:b/>
                <w:bCs/>
                <w:color w:val="1598D9" w:themeColor="accent2"/>
                <w:szCs w:val="20"/>
                <w:lang w:eastAsia="fr-FR"/>
              </w:rPr>
            </w:pPr>
            <w:r w:rsidRPr="00DB414B">
              <w:rPr>
                <w:b/>
                <w:bCs/>
                <w:color w:val="1598D9" w:themeColor="accent2"/>
              </w:rPr>
              <w:t>22 053 (- 0,3 %)</w:t>
            </w:r>
          </w:p>
        </w:tc>
        <w:tc>
          <w:tcPr>
            <w:tcW w:w="907" w:type="dxa"/>
            <w:tcBorders>
              <w:top w:val="nil"/>
              <w:left w:val="nil"/>
              <w:bottom w:val="single" w:sz="4" w:space="0" w:color="D2D2D2"/>
              <w:right w:val="nil"/>
            </w:tcBorders>
            <w:shd w:val="clear" w:color="000000" w:fill="FFFFFF"/>
            <w:noWrap/>
            <w:vAlign w:val="center"/>
            <w:hideMark/>
          </w:tcPr>
          <w:p w14:paraId="38A28D55" w14:textId="20618AF6" w:rsidR="00DB414B" w:rsidRPr="00DB414B" w:rsidRDefault="00DB414B" w:rsidP="00DB414B">
            <w:pPr>
              <w:spacing w:line="240" w:lineRule="auto"/>
              <w:jc w:val="center"/>
              <w:rPr>
                <w:rFonts w:ascii="Century Gothic" w:eastAsia="Times New Roman" w:hAnsi="Century Gothic" w:cs="Times New Roman"/>
                <w:b/>
                <w:bCs/>
                <w:color w:val="005293" w:themeColor="accent1"/>
                <w:szCs w:val="20"/>
                <w:lang w:eastAsia="fr-FR"/>
              </w:rPr>
            </w:pPr>
            <w:r w:rsidRPr="00DB414B">
              <w:rPr>
                <w:b/>
                <w:bCs/>
                <w:color w:val="005293" w:themeColor="accent1"/>
              </w:rPr>
              <w:t>16,9 %</w:t>
            </w:r>
          </w:p>
        </w:tc>
        <w:tc>
          <w:tcPr>
            <w:tcW w:w="1510" w:type="dxa"/>
            <w:vMerge/>
            <w:tcBorders>
              <w:top w:val="nil"/>
              <w:left w:val="nil"/>
              <w:bottom w:val="nil"/>
              <w:right w:val="nil"/>
            </w:tcBorders>
            <w:vAlign w:val="center"/>
            <w:hideMark/>
          </w:tcPr>
          <w:p w14:paraId="4F14CE5E" w14:textId="77777777" w:rsidR="00DB414B" w:rsidRPr="008F2F62" w:rsidRDefault="00DB414B" w:rsidP="00DB414B">
            <w:pPr>
              <w:spacing w:line="240" w:lineRule="auto"/>
              <w:rPr>
                <w:rFonts w:ascii="Century Gothic" w:eastAsia="Times New Roman" w:hAnsi="Century Gothic" w:cs="Times New Roman"/>
                <w:b/>
                <w:bCs/>
                <w:color w:val="FFFFFF"/>
                <w:szCs w:val="20"/>
                <w:lang w:eastAsia="fr-FR"/>
              </w:rPr>
            </w:pPr>
          </w:p>
        </w:tc>
      </w:tr>
      <w:tr w:rsidR="00DB414B" w:rsidRPr="008F2F62" w14:paraId="340F9EA3" w14:textId="77777777" w:rsidTr="00DB414B">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DB414B" w:rsidRPr="008F2F62" w:rsidRDefault="00DB414B" w:rsidP="00DB414B">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40AC101C" w:rsidR="00DB414B" w:rsidRPr="00DB414B" w:rsidRDefault="00DB414B" w:rsidP="00DB414B">
            <w:pPr>
              <w:spacing w:line="240" w:lineRule="auto"/>
              <w:jc w:val="center"/>
              <w:rPr>
                <w:rFonts w:ascii="Century Gothic" w:eastAsia="Times New Roman" w:hAnsi="Century Gothic" w:cs="Times New Roman"/>
                <w:b/>
                <w:bCs/>
                <w:color w:val="1598D9" w:themeColor="accent2"/>
                <w:szCs w:val="20"/>
                <w:lang w:eastAsia="fr-FR"/>
              </w:rPr>
            </w:pPr>
            <w:r w:rsidRPr="00DB414B">
              <w:rPr>
                <w:b/>
                <w:bCs/>
                <w:color w:val="1598D9" w:themeColor="accent2"/>
              </w:rPr>
              <w:t>733 009 (+ 0,0 %)</w:t>
            </w:r>
          </w:p>
        </w:tc>
        <w:tc>
          <w:tcPr>
            <w:tcW w:w="907" w:type="dxa"/>
            <w:tcBorders>
              <w:top w:val="nil"/>
              <w:left w:val="nil"/>
              <w:bottom w:val="single" w:sz="4" w:space="0" w:color="D2D2D2"/>
              <w:right w:val="nil"/>
            </w:tcBorders>
            <w:shd w:val="clear" w:color="000000" w:fill="FFFFFF"/>
            <w:noWrap/>
            <w:vAlign w:val="center"/>
            <w:hideMark/>
          </w:tcPr>
          <w:p w14:paraId="2B98A726" w14:textId="375F4BB8" w:rsidR="00DB414B" w:rsidRPr="00DB414B" w:rsidRDefault="00DB414B" w:rsidP="00DB414B">
            <w:pPr>
              <w:spacing w:line="240" w:lineRule="auto"/>
              <w:jc w:val="center"/>
              <w:rPr>
                <w:rFonts w:ascii="Century Gothic" w:eastAsia="Times New Roman" w:hAnsi="Century Gothic" w:cs="Times New Roman"/>
                <w:b/>
                <w:bCs/>
                <w:color w:val="005293" w:themeColor="accent1"/>
                <w:szCs w:val="20"/>
                <w:lang w:eastAsia="fr-FR"/>
              </w:rPr>
            </w:pPr>
            <w:r w:rsidRPr="00DB414B">
              <w:rPr>
                <w:b/>
                <w:bCs/>
                <w:color w:val="005293" w:themeColor="accent1"/>
              </w:rPr>
              <w:t>14,8 %</w:t>
            </w:r>
          </w:p>
        </w:tc>
        <w:tc>
          <w:tcPr>
            <w:tcW w:w="1510" w:type="dxa"/>
            <w:vMerge/>
            <w:tcBorders>
              <w:top w:val="nil"/>
              <w:left w:val="nil"/>
              <w:bottom w:val="nil"/>
              <w:right w:val="nil"/>
            </w:tcBorders>
            <w:vAlign w:val="center"/>
            <w:hideMark/>
          </w:tcPr>
          <w:p w14:paraId="1A5117ED" w14:textId="77777777" w:rsidR="00DB414B" w:rsidRPr="008F2F62" w:rsidRDefault="00DB414B" w:rsidP="00DB414B">
            <w:pPr>
              <w:spacing w:line="240" w:lineRule="auto"/>
              <w:rPr>
                <w:rFonts w:ascii="Century Gothic" w:eastAsia="Times New Roman" w:hAnsi="Century Gothic" w:cs="Times New Roman"/>
                <w:b/>
                <w:bCs/>
                <w:color w:val="FFFFFF"/>
                <w:szCs w:val="20"/>
                <w:lang w:eastAsia="fr-FR"/>
              </w:rPr>
            </w:pPr>
          </w:p>
        </w:tc>
      </w:tr>
      <w:tr w:rsidR="00DB414B" w:rsidRPr="008F2F62" w14:paraId="7AA4AF07" w14:textId="77777777" w:rsidTr="00DB414B">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DB414B" w:rsidRPr="008F2F62" w:rsidRDefault="00DB414B" w:rsidP="00DB414B">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40E71791" w:rsidR="00DB414B" w:rsidRPr="00DB414B" w:rsidRDefault="00DB414B" w:rsidP="00DB414B">
            <w:pPr>
              <w:spacing w:line="240" w:lineRule="auto"/>
              <w:jc w:val="center"/>
              <w:rPr>
                <w:rFonts w:ascii="Century Gothic" w:eastAsia="Times New Roman" w:hAnsi="Century Gothic" w:cs="Times New Roman"/>
                <w:b/>
                <w:bCs/>
                <w:color w:val="1598D9" w:themeColor="accent2"/>
                <w:szCs w:val="20"/>
                <w:lang w:eastAsia="fr-FR"/>
              </w:rPr>
            </w:pPr>
            <w:r w:rsidRPr="00DB414B">
              <w:rPr>
                <w:b/>
                <w:bCs/>
                <w:color w:val="1598D9" w:themeColor="accent2"/>
              </w:rPr>
              <w:t>405 232 t</w:t>
            </w:r>
          </w:p>
        </w:tc>
        <w:tc>
          <w:tcPr>
            <w:tcW w:w="907" w:type="dxa"/>
            <w:tcBorders>
              <w:top w:val="nil"/>
              <w:left w:val="nil"/>
              <w:bottom w:val="single" w:sz="4" w:space="0" w:color="D2D2D2"/>
              <w:right w:val="nil"/>
            </w:tcBorders>
            <w:shd w:val="clear" w:color="000000" w:fill="FFFFFF"/>
            <w:noWrap/>
            <w:vAlign w:val="center"/>
            <w:hideMark/>
          </w:tcPr>
          <w:p w14:paraId="4B25611E" w14:textId="53620922" w:rsidR="00DB414B" w:rsidRPr="00DB414B" w:rsidRDefault="00DB414B" w:rsidP="00DB414B">
            <w:pPr>
              <w:spacing w:line="240" w:lineRule="auto"/>
              <w:jc w:val="center"/>
              <w:rPr>
                <w:rFonts w:ascii="Century Gothic" w:eastAsia="Times New Roman" w:hAnsi="Century Gothic" w:cs="Times New Roman"/>
                <w:b/>
                <w:bCs/>
                <w:color w:val="005293" w:themeColor="accent1"/>
                <w:szCs w:val="20"/>
                <w:lang w:eastAsia="fr-FR"/>
              </w:rPr>
            </w:pPr>
            <w:r w:rsidRPr="00DB414B">
              <w:rPr>
                <w:b/>
                <w:bCs/>
                <w:color w:val="005293" w:themeColor="accent1"/>
              </w:rPr>
              <w:t>15,5 %</w:t>
            </w:r>
          </w:p>
        </w:tc>
        <w:tc>
          <w:tcPr>
            <w:tcW w:w="1510" w:type="dxa"/>
            <w:vMerge/>
            <w:tcBorders>
              <w:top w:val="nil"/>
              <w:left w:val="nil"/>
              <w:bottom w:val="nil"/>
              <w:right w:val="nil"/>
            </w:tcBorders>
            <w:vAlign w:val="center"/>
            <w:hideMark/>
          </w:tcPr>
          <w:p w14:paraId="740B901D" w14:textId="77777777" w:rsidR="00DB414B" w:rsidRPr="008F2F62" w:rsidRDefault="00DB414B" w:rsidP="00DB414B">
            <w:pPr>
              <w:spacing w:line="240" w:lineRule="auto"/>
              <w:rPr>
                <w:rFonts w:ascii="Century Gothic" w:eastAsia="Times New Roman" w:hAnsi="Century Gothic" w:cs="Times New Roman"/>
                <w:b/>
                <w:bCs/>
                <w:color w:val="FFFFFF"/>
                <w:szCs w:val="20"/>
                <w:lang w:eastAsia="fr-FR"/>
              </w:rPr>
            </w:pPr>
          </w:p>
        </w:tc>
      </w:tr>
      <w:tr w:rsidR="00DB414B" w:rsidRPr="008F2F62" w14:paraId="4CADD36E" w14:textId="77777777" w:rsidTr="00DB414B">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DB414B" w:rsidRPr="008F2F62" w:rsidRDefault="00DB414B" w:rsidP="00DB414B">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2AA75E86" w:rsidR="00DB414B" w:rsidRPr="00DB414B" w:rsidRDefault="00DB414B" w:rsidP="00DB414B">
            <w:pPr>
              <w:spacing w:line="240" w:lineRule="auto"/>
              <w:jc w:val="center"/>
              <w:rPr>
                <w:rFonts w:ascii="Century Gothic" w:eastAsia="Times New Roman" w:hAnsi="Century Gothic" w:cs="Times New Roman"/>
                <w:b/>
                <w:bCs/>
                <w:color w:val="1598D9" w:themeColor="accent2"/>
                <w:szCs w:val="20"/>
                <w:lang w:eastAsia="fr-FR"/>
              </w:rPr>
            </w:pPr>
            <w:r w:rsidRPr="00DB414B">
              <w:rPr>
                <w:b/>
                <w:bCs/>
                <w:color w:val="1598D9" w:themeColor="accent2"/>
              </w:rPr>
              <w:t>65 %</w:t>
            </w:r>
          </w:p>
        </w:tc>
        <w:tc>
          <w:tcPr>
            <w:tcW w:w="907" w:type="dxa"/>
            <w:tcBorders>
              <w:top w:val="nil"/>
              <w:left w:val="nil"/>
              <w:bottom w:val="single" w:sz="4" w:space="0" w:color="D2D2D2"/>
              <w:right w:val="nil"/>
            </w:tcBorders>
            <w:shd w:val="clear" w:color="000000" w:fill="FFFFFF"/>
            <w:noWrap/>
            <w:vAlign w:val="center"/>
            <w:hideMark/>
          </w:tcPr>
          <w:p w14:paraId="5252CA16" w14:textId="097F00E3" w:rsidR="00DB414B" w:rsidRPr="00DB414B" w:rsidRDefault="00DB414B" w:rsidP="00DB414B">
            <w:pPr>
              <w:spacing w:line="240" w:lineRule="auto"/>
              <w:jc w:val="center"/>
              <w:rPr>
                <w:rFonts w:ascii="Century Gothic" w:eastAsia="Times New Roman" w:hAnsi="Century Gothic" w:cs="Times New Roman"/>
                <w:b/>
                <w:bCs/>
                <w:color w:val="005293" w:themeColor="accent1"/>
                <w:szCs w:val="20"/>
                <w:lang w:eastAsia="fr-FR"/>
              </w:rPr>
            </w:pPr>
            <w:r w:rsidRPr="00DB414B">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DB414B" w:rsidRPr="008F2F62" w:rsidRDefault="00DB414B" w:rsidP="00DB414B">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DB414B" w:rsidRPr="008F2F62" w14:paraId="50CB4E74" w14:textId="77777777" w:rsidTr="00DB414B">
        <w:trPr>
          <w:trHeight w:val="270"/>
        </w:trPr>
        <w:tc>
          <w:tcPr>
            <w:tcW w:w="4706" w:type="dxa"/>
            <w:tcBorders>
              <w:top w:val="nil"/>
              <w:left w:val="nil"/>
              <w:bottom w:val="nil"/>
              <w:right w:val="nil"/>
            </w:tcBorders>
            <w:shd w:val="clear" w:color="000000" w:fill="FFFFFF"/>
            <w:noWrap/>
            <w:vAlign w:val="center"/>
            <w:hideMark/>
          </w:tcPr>
          <w:p w14:paraId="43950DBC" w14:textId="05127F27" w:rsidR="00DB414B" w:rsidRPr="008F2F62" w:rsidRDefault="00DB414B" w:rsidP="00DB414B">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246BCECF" w:rsidR="00DB414B" w:rsidRPr="00DB414B" w:rsidRDefault="00DB414B" w:rsidP="00DB414B">
            <w:pPr>
              <w:spacing w:line="240" w:lineRule="auto"/>
              <w:jc w:val="center"/>
              <w:rPr>
                <w:rFonts w:ascii="Century Gothic" w:eastAsia="Times New Roman" w:hAnsi="Century Gothic" w:cs="Times New Roman"/>
                <w:b/>
                <w:bCs/>
                <w:color w:val="1598D9" w:themeColor="accent2"/>
                <w:szCs w:val="20"/>
                <w:lang w:eastAsia="fr-FR"/>
              </w:rPr>
            </w:pPr>
            <w:r w:rsidRPr="00DB414B">
              <w:rPr>
                <w:b/>
                <w:bCs/>
                <w:color w:val="1598D9" w:themeColor="accent2"/>
              </w:rPr>
              <w:t>9 %</w:t>
            </w:r>
          </w:p>
        </w:tc>
        <w:tc>
          <w:tcPr>
            <w:tcW w:w="907" w:type="dxa"/>
            <w:tcBorders>
              <w:top w:val="nil"/>
              <w:left w:val="nil"/>
              <w:bottom w:val="nil"/>
              <w:right w:val="nil"/>
            </w:tcBorders>
            <w:shd w:val="clear" w:color="000000" w:fill="FFFFFF"/>
            <w:noWrap/>
            <w:vAlign w:val="center"/>
            <w:hideMark/>
          </w:tcPr>
          <w:p w14:paraId="5C8EDE1F" w14:textId="5A4F864B" w:rsidR="00DB414B" w:rsidRPr="00DB414B" w:rsidRDefault="00DB414B" w:rsidP="00DB414B">
            <w:pPr>
              <w:spacing w:line="240" w:lineRule="auto"/>
              <w:jc w:val="center"/>
              <w:rPr>
                <w:rFonts w:ascii="Century Gothic" w:eastAsia="Times New Roman" w:hAnsi="Century Gothic" w:cs="Times New Roman"/>
                <w:b/>
                <w:bCs/>
                <w:color w:val="005293" w:themeColor="accent1"/>
                <w:szCs w:val="20"/>
                <w:lang w:eastAsia="fr-FR"/>
              </w:rPr>
            </w:pPr>
            <w:r w:rsidRPr="00DB414B">
              <w:rPr>
                <w:b/>
                <w:bCs/>
                <w:color w:val="005293" w:themeColor="accent1"/>
              </w:rPr>
              <w:t>10 %</w:t>
            </w:r>
          </w:p>
        </w:tc>
        <w:tc>
          <w:tcPr>
            <w:tcW w:w="1510" w:type="dxa"/>
            <w:vMerge/>
            <w:tcBorders>
              <w:top w:val="nil"/>
              <w:left w:val="nil"/>
              <w:bottom w:val="nil"/>
              <w:right w:val="nil"/>
            </w:tcBorders>
            <w:vAlign w:val="center"/>
            <w:hideMark/>
          </w:tcPr>
          <w:p w14:paraId="6FEC216D" w14:textId="77777777" w:rsidR="00DB414B" w:rsidRPr="008F2F62" w:rsidRDefault="00DB414B" w:rsidP="00DB414B">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388E2142">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5AE3C5D3">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6F290571">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13C2BF6F">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0851D3" w14:textId="4E1242C1" w:rsidR="00DB414B" w:rsidRDefault="00DB414B" w:rsidP="002C6D1C">
      <w:pPr>
        <w:pStyle w:val="Corpsdetexte"/>
      </w:pPr>
      <w:r>
        <w:rPr>
          <w:noProof/>
        </w:rPr>
        <w:lastRenderedPageBreak/>
        <w:drawing>
          <wp:anchor distT="0" distB="0" distL="114300" distR="114300" simplePos="0" relativeHeight="251657216" behindDoc="0" locked="0" layoutInCell="1" allowOverlap="1" wp14:anchorId="4DC33E20" wp14:editId="3F9EA1B7">
            <wp:simplePos x="0" y="0"/>
            <wp:positionH relativeFrom="margin">
              <wp:align>left</wp:align>
            </wp:positionH>
            <wp:positionV relativeFrom="paragraph">
              <wp:posOffset>13335</wp:posOffset>
            </wp:positionV>
            <wp:extent cx="3619500" cy="21621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C690402" w14:textId="3A8CFEA8" w:rsidR="002C6D1C" w:rsidRDefault="002C6D1C" w:rsidP="002C6D1C">
      <w:pPr>
        <w:pStyle w:val="Corpsdetexte"/>
      </w:pPr>
      <w:r>
        <w:t>Le nombre de salariés sur le département est en légère baisse entre 2019 et 2020, ce qui peut s’expliquer par la crise sanitaire de 2020.</w:t>
      </w:r>
    </w:p>
    <w:p w14:paraId="4D3DC810" w14:textId="392E8C86" w:rsidR="002C6D1C" w:rsidRDefault="002C6D1C" w:rsidP="002C6D1C">
      <w:pPr>
        <w:pStyle w:val="Corpsdetexte"/>
      </w:pPr>
      <w:r>
        <w:t>Le</w:t>
      </w:r>
      <w:r w:rsidR="002E6D32">
        <w:t xml:space="preserve"> nombre de</w:t>
      </w:r>
      <w:r>
        <w:t xml:space="preserve"> salariés du BTP </w:t>
      </w:r>
      <w:r w:rsidR="002E6D32">
        <w:t>est</w:t>
      </w:r>
      <w:r>
        <w:t xml:space="preserve"> en augmentation, mais reste minoritaire au regard du tertiaire et de l'industrie.</w:t>
      </w:r>
    </w:p>
    <w:p w14:paraId="7D226AD2" w14:textId="49D1C98B" w:rsidR="002C6D1C" w:rsidRDefault="002C6D1C" w:rsidP="002C6D1C">
      <w:pPr>
        <w:pStyle w:val="Corpsdetexte"/>
        <w:spacing w:before="0" w:after="0"/>
      </w:pPr>
    </w:p>
    <w:p w14:paraId="102DC3AC" w14:textId="77777777" w:rsidR="00DB414B" w:rsidRPr="00C92008" w:rsidRDefault="00DB414B" w:rsidP="002C6D1C">
      <w:pPr>
        <w:pStyle w:val="Corpsdetexte"/>
        <w:spacing w:before="0" w:after="0"/>
      </w:pP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1C3B15B7">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06ED4FE7" w:rsidR="007A79F6" w:rsidRDefault="00D134E0" w:rsidP="00D134E0">
      <w:pPr>
        <w:pStyle w:val="Corpsdetexte"/>
        <w:rPr>
          <w:noProof/>
        </w:rPr>
      </w:pPr>
      <w:r w:rsidRPr="00D134E0">
        <w:t>Entre</w:t>
      </w:r>
      <w:r>
        <w:rPr>
          <w:noProof/>
        </w:rPr>
        <w:t xml:space="preserve"> 2019 et 2020, on note une </w:t>
      </w:r>
      <w:r w:rsidRPr="007774C7">
        <w:rPr>
          <w:b/>
          <w:bCs/>
          <w:noProof/>
        </w:rPr>
        <w:t>baisse d</w:t>
      </w:r>
      <w:r w:rsidR="007774C7" w:rsidRPr="007774C7">
        <w:rPr>
          <w:b/>
          <w:bCs/>
          <w:noProof/>
        </w:rPr>
        <w:t>e 1 </w:t>
      </w:r>
      <w:r w:rsidR="00514E87">
        <w:rPr>
          <w:b/>
          <w:bCs/>
          <w:noProof/>
        </w:rPr>
        <w:t>4</w:t>
      </w:r>
      <w:r w:rsidR="007774C7" w:rsidRPr="007774C7">
        <w:rPr>
          <w:b/>
          <w:bCs/>
          <w:noProof/>
        </w:rPr>
        <w:t>00 t</w:t>
      </w:r>
      <w:r w:rsidR="007774C7">
        <w:rPr>
          <w:noProof/>
        </w:rPr>
        <w:t xml:space="preserve"> d</w:t>
      </w:r>
      <w:r>
        <w:rPr>
          <w:noProof/>
        </w:rPr>
        <w:t>es tonnages de DAEndni entrant en installation des traitement. Cette baisse concerne particulièrement les métaux</w:t>
      </w:r>
      <w:r w:rsidR="007774C7">
        <w:rPr>
          <w:noProof/>
        </w:rPr>
        <w:t>, et dans une moindre mesure les déchets en mélange et le bois. A noter l’augmentation des déchets de papiers et cartons qui pourrait s’epxliquer par le recours accru aux commandes à distance.</w:t>
      </w:r>
    </w:p>
    <w:p w14:paraId="20EF8911" w14:textId="291D32D8" w:rsidR="003A2A23" w:rsidRDefault="00FD4E8B" w:rsidP="003A2A23">
      <w:pPr>
        <w:pStyle w:val="Corpsdetexte"/>
        <w:rPr>
          <w:noProof/>
        </w:rPr>
      </w:pPr>
      <w:r>
        <w:t>La production de DAEndni</w:t>
      </w:r>
      <w:r w:rsidR="009D7D3D">
        <w:t xml:space="preserve"> sur le département</w:t>
      </w:r>
      <w:r>
        <w:t xml:space="preserve"> </w:t>
      </w:r>
      <w:r w:rsidR="009D7D3D">
        <w:t xml:space="preserve">était estimée à </w:t>
      </w:r>
      <w:r w:rsidR="00BC7916">
        <w:t>739</w:t>
      </w:r>
      <w:r w:rsidR="009D7D3D">
        <w:t xml:space="preserve"> 000 t en 2019. </w:t>
      </w:r>
      <w:r w:rsidR="003A2A23">
        <w:rPr>
          <w:noProof/>
        </w:rPr>
        <w:t xml:space="preserve">En ajoutant les évolutions observées sur les tonnages de DAE assimilés aux déchets ménagers (- </w:t>
      </w:r>
      <w:r w:rsidR="00514E87">
        <w:rPr>
          <w:noProof/>
        </w:rPr>
        <w:t>3 300</w:t>
      </w:r>
      <w:r w:rsidR="000D1D70">
        <w:rPr>
          <w:noProof/>
        </w:rPr>
        <w:t xml:space="preserve"> t</w:t>
      </w:r>
      <w:r w:rsidR="003A2A23">
        <w:rPr>
          <w:noProof/>
        </w:rPr>
        <w:t>) ainsi que sur les tonnages de DAEndni gérés directement par les producteurs (</w:t>
      </w:r>
      <w:r w:rsidR="00514E87">
        <w:rPr>
          <w:noProof/>
        </w:rPr>
        <w:t>-</w:t>
      </w:r>
      <w:r w:rsidR="000D1D70">
        <w:rPr>
          <w:noProof/>
        </w:rPr>
        <w:t xml:space="preserve"> </w:t>
      </w:r>
      <w:r w:rsidR="00514E87">
        <w:rPr>
          <w:noProof/>
        </w:rPr>
        <w:t>800</w:t>
      </w:r>
      <w:r w:rsidR="000D1D70">
        <w:rPr>
          <w:noProof/>
        </w:rPr>
        <w:t xml:space="preserve"> 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BC7916">
        <w:rPr>
          <w:b/>
          <w:bCs/>
          <w:noProof/>
        </w:rPr>
        <w:t>733</w:t>
      </w:r>
      <w:r w:rsidR="00083DF2" w:rsidRPr="00083DF2">
        <w:rPr>
          <w:b/>
          <w:bCs/>
          <w:noProof/>
        </w:rPr>
        <w:t xml:space="preserve">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r w:rsidR="00BC7916">
        <w:rPr>
          <w:noProof/>
        </w:rPr>
        <w:t xml:space="preserve"> Néanmoins, la Moselle semble moins touché par cette baisse que le reste de la Région Grand Est.</w:t>
      </w:r>
    </w:p>
    <w:p w14:paraId="31090853" w14:textId="206A0866" w:rsidR="000D469F" w:rsidRDefault="009D7D3D" w:rsidP="00D134E0">
      <w:pPr>
        <w:pStyle w:val="Corpsdetexte"/>
      </w:pPr>
      <w:r>
        <w:t xml:space="preserve"> </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2D04F432"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BC7916">
        <w:rPr>
          <w:b/>
          <w:bCs/>
        </w:rPr>
        <w:t>405</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3C7952A4">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2C6562" w14:textId="68BFD9D6" w:rsidR="00026AB8" w:rsidRDefault="00BC7916" w:rsidP="00711C6A">
      <w:pPr>
        <w:pStyle w:val="Corpsdetexte"/>
        <w:rPr>
          <w:rFonts w:asciiTheme="majorHAnsi" w:eastAsiaTheme="majorEastAsia" w:hAnsiTheme="majorHAnsi" w:cstheme="majorBidi"/>
          <w:color w:val="FFFFFF" w:themeColor="background1"/>
          <w:sz w:val="32"/>
          <w:szCs w:val="24"/>
        </w:rPr>
      </w:pPr>
      <w:r w:rsidRPr="00BC7916">
        <w:t>Les déchets en mélange sont plus représentés dans les tonnages entrant en installation de traitement que dans le gisement estimé, ce qui s’explique par le fait que des types de déchets différents peuvent être mélangés avant d’arriver en installation de traitement.</w:t>
      </w:r>
      <w:r w:rsidR="00026AB8">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156429B5">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3EA0CD36">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591C46" w14:textId="43756284" w:rsidR="00BC7916" w:rsidRDefault="00BC7916" w:rsidP="008166BC">
      <w:pPr>
        <w:pStyle w:val="Corpsdetexte"/>
      </w:pPr>
      <w:r w:rsidRPr="00BC7916">
        <w:t>La répartition départementale des tonnages par mode de valorisation est proche de la répartition régionale. La part réduite de l’agriculture explique en partie une part de valorisation organique plus faible que la part régionale.</w:t>
      </w:r>
    </w:p>
    <w:p w14:paraId="06316479" w14:textId="212F4AC1" w:rsidR="00D9734A" w:rsidRDefault="00D9734A" w:rsidP="008166BC">
      <w:pPr>
        <w:pStyle w:val="Corpsdetexte"/>
      </w:pPr>
      <w:r>
        <w:rPr>
          <w:noProof/>
        </w:rPr>
        <w:drawing>
          <wp:anchor distT="0" distB="0" distL="114300" distR="114300" simplePos="0" relativeHeight="251658240" behindDoc="0" locked="0" layoutInCell="1" allowOverlap="1" wp14:anchorId="49B212A5" wp14:editId="56115FB8">
            <wp:simplePos x="0" y="0"/>
            <wp:positionH relativeFrom="margin">
              <wp:align>left</wp:align>
            </wp:positionH>
            <wp:positionV relativeFrom="paragraph">
              <wp:posOffset>11430</wp:posOffset>
            </wp:positionV>
            <wp:extent cx="3419475" cy="2714625"/>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B95C898" w14:textId="0ACE235D" w:rsidR="008166BC" w:rsidRDefault="008166BC" w:rsidP="008166BC">
      <w:pPr>
        <w:pStyle w:val="Corpsdetexte"/>
      </w:pPr>
      <w:r>
        <w:t xml:space="preserve">Entre 2019 et 2020, on note une tendance à la hausse </w:t>
      </w:r>
      <w:r w:rsidR="00BC7916">
        <w:t>sur l’élimination, au détriment de la valorisation matière</w:t>
      </w:r>
      <w:r>
        <w:t>.</w:t>
      </w:r>
    </w:p>
    <w:p w14:paraId="1651033A" w14:textId="3E44CB0B" w:rsidR="008166BC" w:rsidRPr="00551F7F" w:rsidRDefault="008166BC" w:rsidP="008166BC">
      <w:pPr>
        <w:pStyle w:val="Corpsdetexte"/>
      </w:pPr>
      <w:r>
        <w:t xml:space="preserve">Cette tendance est </w:t>
      </w:r>
      <w:r w:rsidR="00BC7916">
        <w:t xml:space="preserve">inverse à la tendance </w:t>
      </w:r>
      <w:r>
        <w:t xml:space="preserve">observée à l’échelle régionale, ce qui pourrait s’expliquer par </w:t>
      </w:r>
      <w:r w:rsidR="00BC7916">
        <w:t>l’augmentation des quantités de déchets en mélange</w:t>
      </w:r>
      <w:r w:rsidR="00D9734A">
        <w:t xml:space="preserve"> sur le département.</w:t>
      </w:r>
    </w:p>
    <w:sectPr w:rsidR="008166BC" w:rsidRPr="00551F7F"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2F570F3F">
              <wp:simplePos x="0" y="0"/>
              <wp:positionH relativeFrom="page">
                <wp:align>right</wp:align>
              </wp:positionH>
              <wp:positionV relativeFrom="margin">
                <wp:align>top</wp:align>
              </wp:positionV>
              <wp:extent cx="720000" cy="6120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6C13DEFA" w:rsidR="002D7D62" w:rsidRPr="00DD2940" w:rsidRDefault="003235A8" w:rsidP="002D7D62">
                          <w:pPr>
                            <w:rPr>
                              <w:color w:val="EBEBEB" w:themeColor="background2"/>
                              <w:sz w:val="72"/>
                            </w:rPr>
                          </w:pPr>
                          <w:r>
                            <w:rPr>
                              <w:color w:val="EBEBEB" w:themeColor="background2"/>
                              <w:sz w:val="72"/>
                            </w:rPr>
                            <w:t>Moselle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6C13DEFA" w:rsidR="002D7D62" w:rsidRPr="00DD2940" w:rsidRDefault="003235A8" w:rsidP="002D7D62">
                    <w:pPr>
                      <w:rPr>
                        <w:color w:val="EBEBEB" w:themeColor="background2"/>
                        <w:sz w:val="72"/>
                      </w:rPr>
                    </w:pPr>
                    <w:r>
                      <w:rPr>
                        <w:color w:val="EBEBEB" w:themeColor="background2"/>
                        <w:sz w:val="72"/>
                      </w:rPr>
                      <w:t>Moselle</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7016AB"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45.8pt;height:53.3pt" o:bullet="t">
        <v:imagedata r:id="rId1" o:title="Puce"/>
      </v:shape>
    </w:pict>
  </w:numPicBullet>
  <w:numPicBullet w:numPicBulletId="1">
    <w:pict>
      <v:shape id="_x0000_i1309" type="#_x0000_t75" style="width:45.8pt;height:53.3pt" o:bullet="t">
        <v:imagedata r:id="rId2" o:title="Puce_Bleue"/>
      </v:shape>
    </w:pict>
  </w:numPicBullet>
  <w:numPicBullet w:numPicBulletId="2">
    <w:pict>
      <v:shape id="_x0000_i1310"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4AB4"/>
    <w:rsid w:val="002D7D62"/>
    <w:rsid w:val="002E3C2A"/>
    <w:rsid w:val="002E6D32"/>
    <w:rsid w:val="002F2F2D"/>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40A56"/>
    <w:rsid w:val="00452389"/>
    <w:rsid w:val="00455818"/>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14E87"/>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409FF"/>
    <w:rsid w:val="00651B32"/>
    <w:rsid w:val="006717BA"/>
    <w:rsid w:val="006823A5"/>
    <w:rsid w:val="00682B84"/>
    <w:rsid w:val="00682C24"/>
    <w:rsid w:val="00693835"/>
    <w:rsid w:val="0069738E"/>
    <w:rsid w:val="006A0470"/>
    <w:rsid w:val="006B5BF1"/>
    <w:rsid w:val="006C2426"/>
    <w:rsid w:val="006E3364"/>
    <w:rsid w:val="006E4612"/>
    <w:rsid w:val="00701C40"/>
    <w:rsid w:val="00707E89"/>
    <w:rsid w:val="00711C6A"/>
    <w:rsid w:val="00727C20"/>
    <w:rsid w:val="007332B0"/>
    <w:rsid w:val="007336EE"/>
    <w:rsid w:val="00733E22"/>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48EC"/>
    <w:rsid w:val="008763AB"/>
    <w:rsid w:val="00880656"/>
    <w:rsid w:val="00884872"/>
    <w:rsid w:val="00894625"/>
    <w:rsid w:val="008A31A3"/>
    <w:rsid w:val="008A580A"/>
    <w:rsid w:val="008D1E0B"/>
    <w:rsid w:val="008E037E"/>
    <w:rsid w:val="008E5AC2"/>
    <w:rsid w:val="008F0EDB"/>
    <w:rsid w:val="008F2F62"/>
    <w:rsid w:val="008F4A01"/>
    <w:rsid w:val="008F785E"/>
    <w:rsid w:val="009010B9"/>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66235"/>
    <w:rsid w:val="00A74ECB"/>
    <w:rsid w:val="00A85852"/>
    <w:rsid w:val="00A91250"/>
    <w:rsid w:val="00AA2A91"/>
    <w:rsid w:val="00AA3006"/>
    <w:rsid w:val="00AC24FB"/>
    <w:rsid w:val="00AD1584"/>
    <w:rsid w:val="00AE322E"/>
    <w:rsid w:val="00AF1924"/>
    <w:rsid w:val="00AF4CF8"/>
    <w:rsid w:val="00AF4F53"/>
    <w:rsid w:val="00B03C68"/>
    <w:rsid w:val="00B1721A"/>
    <w:rsid w:val="00B17FC6"/>
    <w:rsid w:val="00B317A5"/>
    <w:rsid w:val="00B40BCF"/>
    <w:rsid w:val="00B43915"/>
    <w:rsid w:val="00B469B7"/>
    <w:rsid w:val="00B478A9"/>
    <w:rsid w:val="00B47C08"/>
    <w:rsid w:val="00B54C56"/>
    <w:rsid w:val="00B567D3"/>
    <w:rsid w:val="00B65BA1"/>
    <w:rsid w:val="00B803B6"/>
    <w:rsid w:val="00B8067B"/>
    <w:rsid w:val="00B9007D"/>
    <w:rsid w:val="00B905D6"/>
    <w:rsid w:val="00BA249B"/>
    <w:rsid w:val="00BB15A0"/>
    <w:rsid w:val="00BC54FC"/>
    <w:rsid w:val="00BC557B"/>
    <w:rsid w:val="00BC6275"/>
    <w:rsid w:val="00BC7916"/>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70A0"/>
    <w:rsid w:val="00C44FBE"/>
    <w:rsid w:val="00C53C1A"/>
    <w:rsid w:val="00C54FC9"/>
    <w:rsid w:val="00C574AC"/>
    <w:rsid w:val="00C669AF"/>
    <w:rsid w:val="00C67E78"/>
    <w:rsid w:val="00C70325"/>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51AC6"/>
    <w:rsid w:val="00D5364D"/>
    <w:rsid w:val="00D5544D"/>
    <w:rsid w:val="00D83F43"/>
    <w:rsid w:val="00D902FC"/>
    <w:rsid w:val="00D9734A"/>
    <w:rsid w:val="00D97413"/>
    <w:rsid w:val="00DA6854"/>
    <w:rsid w:val="00DA7C0B"/>
    <w:rsid w:val="00DB2BA3"/>
    <w:rsid w:val="00DB414B"/>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60A0"/>
    <w:rsid w:val="00F769B3"/>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Moselle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1"/>
              <c:layout>
                <c:manualLayout>
                  <c:x val="3.5141664836371461E-2"/>
                  <c:y val="-3.5298270384751147E-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770-460C-86AD-E46C0F9CF0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49606</c:v>
                </c:pt>
                <c:pt idx="1">
                  <c:v>19632</c:v>
                </c:pt>
                <c:pt idx="2">
                  <c:v>256928</c:v>
                </c:pt>
                <c:pt idx="3">
                  <c:v>1794</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0.60863661409343028</c:v>
                </c:pt>
                <c:pt idx="1">
                  <c:v>0.57958452789199555</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7.3816858395078108E-2</c:v>
                </c:pt>
                <c:pt idx="1">
                  <c:v>6.7310549854949178E-2</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8.5201150550565291E-2</c:v>
                </c:pt>
                <c:pt idx="1">
                  <c:v>8.7289906277030455E-2</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0.23234537696092639</c:v>
                </c:pt>
                <c:pt idx="1">
                  <c:v>0.26581501597602486</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Moselle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1801</c:v>
                </c:pt>
                <c:pt idx="1">
                  <c:v>2797</c:v>
                </c:pt>
                <c:pt idx="2">
                  <c:v>17341</c:v>
                </c:pt>
                <c:pt idx="3">
                  <c:v>114</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50809</c:v>
                </c:pt>
                <c:pt idx="1">
                  <c:v>49606</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19313</c:v>
                </c:pt>
                <c:pt idx="1">
                  <c:v>19632</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260270</c:v>
                </c:pt>
                <c:pt idx="1">
                  <c:v>256928</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A-4EF4-93E3-BCA6A87BA969}"/>
                </c:ext>
              </c:extLst>
            </c:dLbl>
            <c:dLbl>
              <c:idx val="1"/>
              <c:layout>
                <c:manualLayout>
                  <c:x val="-0.157894736842105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A-4EF4-93E3-BCA6A87BA969}"/>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1803</c:v>
                </c:pt>
                <c:pt idx="1">
                  <c:v>1794</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332195</c:v>
                </c:pt>
                <c:pt idx="1">
                  <c:v>327960</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94206.97</c:v>
                </c:pt>
                <c:pt idx="1">
                  <c:v>112860.62</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Lbl>
              <c:idx val="0"/>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3-48D2-BC40-4C2C7D60B7D3}"/>
                </c:ext>
              </c:extLst>
            </c:dLbl>
            <c:dLbl>
              <c:idx val="1"/>
              <c:layout>
                <c:manualLayout>
                  <c:x val="7.5993105316543644E-2"/>
                  <c:y val="-1.354247205728442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Synthèse!$F$248:$G$248</c:f>
              <c:numCache>
                <c:formatCode>#\ ###\ ##0_-\t</c:formatCode>
                <c:ptCount val="2"/>
                <c:pt idx="0">
                  <c:v>66.89</c:v>
                </c:pt>
                <c:pt idx="1">
                  <c:v>45.22</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133124.95268385604</c:v>
                </c:pt>
                <c:pt idx="1">
                  <c:v>111806.0482577962</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11748.58232020162</c:v>
                </c:pt>
                <c:pt idx="1">
                  <c:v>11294.042402456</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48198.418182345238</c:v>
                </c:pt>
                <c:pt idx="1">
                  <c:v>51536.559925767731</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Lbl>
              <c:idx val="0"/>
              <c:layout>
                <c:manualLayout>
                  <c:x val="-0.10018669841220561"/>
                  <c:y val="-6.628026589858564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F3-48D2-BC40-4C2C7D60B7D3}"/>
                </c:ext>
              </c:extLst>
            </c:dLbl>
            <c:dLbl>
              <c:idx val="1"/>
              <c:layout>
                <c:manualLayout>
                  <c:x val="-9.603602911678169E-2"/>
                  <c:y val="-6.628026589858564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Synthèse!$F$252:$G$252</c:f>
              <c:numCache>
                <c:formatCode>#\ ###\ ##0_-\t</c:formatCode>
                <c:ptCount val="2"/>
                <c:pt idx="0">
                  <c:v>690</c:v>
                </c:pt>
                <c:pt idx="1">
                  <c:v>197</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Lbl>
              <c:idx val="0"/>
              <c:layout>
                <c:manualLayout>
                  <c:x val="7.8295926689772283E-2"/>
                  <c:y val="-6.77123602864221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3-48D2-BC40-4C2C7D60B7D3}"/>
                </c:ext>
              </c:extLst>
            </c:dLbl>
            <c:dLbl>
              <c:idx val="1"/>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Synthèse!$F$253:$G$253</c:f>
              <c:numCache>
                <c:formatCode>#\ ###\ ##0_-\t</c:formatCode>
                <c:ptCount val="2"/>
                <c:pt idx="0">
                  <c:v>91</c:v>
                </c:pt>
                <c:pt idx="1">
                  <c:v>189.73000000000002</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39611.448904809855</c:v>
                </c:pt>
                <c:pt idx="1">
                  <c:v>39640.848894625793</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elete val="1"/>
          </c:dLbls>
          <c:cat>
            <c:numRef>
              <c:f>Synthèse!$F$246:$G$246</c:f>
              <c:numCache>
                <c:formatCode>General</c:formatCode>
                <c:ptCount val="2"/>
                <c:pt idx="0">
                  <c:v>2019</c:v>
                </c:pt>
                <c:pt idx="1">
                  <c:v>2020</c:v>
                </c:pt>
              </c:numCache>
            </c:numRef>
          </c:cat>
          <c:val>
            <c:numRef>
              <c:f>Synthèse!$F$255:$G$255</c:f>
              <c:numCache>
                <c:formatCode>#\ ###\ ##0_-\t</c:formatCode>
                <c:ptCount val="2"/>
                <c:pt idx="0">
                  <c:v>0</c:v>
                </c:pt>
                <c:pt idx="1">
                  <c:v>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37783.850000000006</c:v>
                </c:pt>
                <c:pt idx="1">
                  <c:v>35403.01</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12311.100000000002</c:v>
                </c:pt>
                <c:pt idx="1">
                  <c:v>13424.900000000001</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Lbl>
              <c:idx val="0"/>
              <c:layout>
                <c:manualLayout>
                  <c:x val="-9.6746381850136329E-2"/>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8F3-48D2-BC40-4C2C7D60B7D3}"/>
                </c:ext>
              </c:extLst>
            </c:dLbl>
            <c:dLbl>
              <c:idx val="1"/>
              <c:layout>
                <c:manualLayout>
                  <c:x val="-9.9276819410752032E-2"/>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Synthèse!$F$246:$G$246</c:f>
              <c:numCache>
                <c:formatCode>General</c:formatCode>
                <c:ptCount val="2"/>
                <c:pt idx="0">
                  <c:v>2019</c:v>
                </c:pt>
                <c:pt idx="1">
                  <c:v>2020</c:v>
                </c:pt>
              </c:numCache>
            </c:numRef>
          </c:cat>
          <c:val>
            <c:numRef>
              <c:f>Synthèse!$F$258:$G$258</c:f>
              <c:numCache>
                <c:formatCode>#\ ###\ ##0_-\t</c:formatCode>
                <c:ptCount val="2"/>
                <c:pt idx="0">
                  <c:v>1117.951</c:v>
                </c:pt>
                <c:pt idx="1">
                  <c:v>1129.2139999999999</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378951.16309121274</c:v>
                </c:pt>
                <c:pt idx="1">
                  <c:v>377527.19348064566</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3"/>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Synthèse!$H$293:$I$293</c:f>
              <c:numCache>
                <c:formatCode>0%</c:formatCode>
                <c:ptCount val="2"/>
                <c:pt idx="0">
                  <c:v>0.28999830105582541</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Moselle</c:v>
                </c:pt>
                <c:pt idx="1">
                  <c:v>Grand Est</c:v>
                </c:pt>
              </c:strCache>
            </c:strRef>
          </c:cat>
          <c:val>
            <c:numRef>
              <c:f>Synthèse!$H$294:$I$294</c:f>
              <c:numCache>
                <c:formatCode>0%</c:formatCode>
                <c:ptCount val="2"/>
                <c:pt idx="0">
                  <c:v>1.6801222001281667E-3</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Synthèse!$H$295:$I$295</c:f>
              <c:numCache>
                <c:formatCode>0%</c:formatCode>
                <c:ptCount val="2"/>
                <c:pt idx="0">
                  <c:v>0.32872384622092149</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Synthèse!$H$296:$I$296</c:f>
              <c:numCache>
                <c:formatCode>0%</c:formatCode>
                <c:ptCount val="2"/>
                <c:pt idx="0">
                  <c:v>2.8023913664794942E-2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Synthèse!$H$297:$I$297</c:f>
              <c:numCache>
                <c:formatCode>0%</c:formatCode>
                <c:ptCount val="2"/>
                <c:pt idx="0">
                  <c:v>0.12717786953589783</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Synthèse!$H$300:$I$300</c:f>
              <c:numCache>
                <c:formatCode>0%</c:formatCode>
                <c:ptCount val="2"/>
                <c:pt idx="0">
                  <c:v>9.2697067311236961E-2</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Synthèse!$H$301:$I$301</c:f>
              <c:numCache>
                <c:formatCode>0.0%</c:formatCode>
                <c:ptCount val="2"/>
                <c:pt idx="0">
                  <c:v>0</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Synthèse!$H$302:$I$302</c:f>
              <c:numCache>
                <c:formatCode>0%</c:formatCode>
                <c:ptCount val="2"/>
                <c:pt idx="0">
                  <c:v>8.8797447757545625E-2</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Synthèse!$H$303:$I$303</c:f>
              <c:numCache>
                <c:formatCode>0%</c:formatCode>
                <c:ptCount val="2"/>
                <c:pt idx="0">
                  <c:v>3.8034586315916323E-2</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layout>
                <c:manualLayout>
                  <c:x val="0"/>
                  <c:y val="8.348678961246848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Moselle</c:v>
                </c:pt>
                <c:pt idx="1">
                  <c:v>Grand Est</c:v>
                </c:pt>
              </c:strCache>
            </c:strRef>
          </c:cat>
          <c:val>
            <c:numRef>
              <c:f>Synthèse!$H$304:$I$304</c:f>
              <c:numCache>
                <c:formatCode>0.0%</c:formatCode>
                <c:ptCount val="2"/>
                <c:pt idx="0">
                  <c:v>3.3694109131925743E-3</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Moselle</c:v>
                      </c:pt>
                      <c:pt idx="1">
                        <c:v>Grand Est</c:v>
                      </c:pt>
                    </c:strCache>
                  </c:strRef>
                </c:cat>
                <c:val>
                  <c:numRef>
                    <c:extLst>
                      <c:ext uri="{02D57815-91ED-43cb-92C2-25804820EDAC}">
                        <c15:formulaRef>
                          <c15:sqref>Synthèse!$H$298:$I$298</c15:sqref>
                        </c15:formulaRef>
                      </c:ext>
                    </c:extLst>
                    <c:numCache>
                      <c:formatCode>0.0%</c:formatCode>
                      <c:ptCount val="2"/>
                      <c:pt idx="0">
                        <c:v>4.8614095997121502E-4</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Moselle</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1.0112940645696938E-3</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Moselle</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0.57958452789199555</c:v>
                </c:pt>
                <c:pt idx="1">
                  <c:v>6.7310549854949178E-2</c:v>
                </c:pt>
                <c:pt idx="2">
                  <c:v>8.7289906277030455E-2</c:v>
                </c:pt>
                <c:pt idx="3">
                  <c:v>0.26581501597602486</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customXml/itemProps2.xml><?xml version="1.0" encoding="utf-8"?>
<ds:datastoreItem xmlns:ds="http://schemas.openxmlformats.org/officeDocument/2006/customXml" ds:itemID="{C0020386-8827-4A58-B63F-0F5A961E96B8}">
  <ds:schemaRefs>
    <ds:schemaRef ds:uri="http://schemas.microsoft.com/office/2006/documentManagement/types"/>
    <ds:schemaRef ds:uri="http://schemas.openxmlformats.org/package/2006/metadata/core-properties"/>
    <ds:schemaRef ds:uri="http://www.w3.org/XML/1998/namespace"/>
    <ds:schemaRef ds:uri="http://purl.org/dc/elements/1.1/"/>
    <ds:schemaRef ds:uri="f62a26c4-aace-4fc9-80a7-ab28e1be8723"/>
    <ds:schemaRef ds:uri="66095bee-5dc8-457d-bf6f-f80c5fc40eda"/>
    <ds:schemaRef ds:uri="http://schemas.microsoft.com/office/infopath/2007/PartnerControls"/>
    <ds:schemaRef ds:uri="http://schemas.microsoft.com/office/2006/metadata/properties"/>
    <ds:schemaRef ds:uri="4a3adf83-4159-48c2-b191-a10bc88d810d"/>
    <ds:schemaRef ds:uri="http://purl.org/dc/dcmitype/"/>
    <ds:schemaRef ds:uri="http://purl.org/dc/terms/"/>
  </ds:schemaRefs>
</ds:datastoreItem>
</file>

<file path=customXml/itemProps3.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4.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861</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5</cp:revision>
  <dcterms:created xsi:type="dcterms:W3CDTF">2022-08-05T13:14:00Z</dcterms:created>
  <dcterms:modified xsi:type="dcterms:W3CDTF">2022-08-22T12:14:00Z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